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67" w:rsidRPr="00F21767" w:rsidRDefault="00F21767" w:rsidP="00F21767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F21767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Памятка родителям (законным представителям), о порядке приобретения путёвок в загородные лагеря на летние оздоровительные смены.</w:t>
      </w:r>
    </w:p>
    <w:p w:rsidR="00F21767" w:rsidRPr="00F21767" w:rsidRDefault="00F21767" w:rsidP="00F21767">
      <w:pPr>
        <w:spacing w:after="300" w:line="377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2015 году организация летнего каникулярного отдыха детей проводится по четырём направлениям: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 1 апреля 2015 года муниципальные образовательные учреждения, подведомственные департаменту образования и управлению физической культуры и спорта администрации города Томска начинают комплектование загородных лагерей на летние смены: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Start"/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Томский</w:t>
      </w:r>
      <w:proofErr w:type="gramEnd"/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Хобби-центр»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ДОЛ «Лукоморье» (п. Аникино), ДОЛ «Солнечная республика» (д. 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Некрасово</w:t>
      </w:r>
      <w:proofErr w:type="spellEnd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Дворец творчества детей и молодёжи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ДООЛ «Энергетик», палаточный лагерь «Пост № 1» (п. Аникино);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«Юниор»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ДООЛ «Восход» (с. Калтай), палаточный лагерь «Березка» (д. 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Заварзино</w:t>
      </w:r>
      <w:proofErr w:type="spellEnd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«Планирование карьеры»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 «Солнечный» (с. Калтай);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 детского творчества «Созвездие»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палаточный лагерь «Сириус» (п. 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Киреевск</w:t>
      </w:r>
      <w:proofErr w:type="spellEnd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«Центр социальных инициатив»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ДООЛ «Рубин» (с. 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Алаево</w:t>
      </w:r>
      <w:proofErr w:type="spellEnd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ДОЛ «Огонек» (д. Богашево);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ДЮСШ единоборств</w:t>
      </w:r>
    </w:p>
    <w:p w:rsidR="00F21767" w:rsidRPr="00F21767" w:rsidRDefault="00F21767" w:rsidP="00F21767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палаточный лагерь «Лагуна» (п. 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Киреевск</w:t>
      </w:r>
      <w:proofErr w:type="spellEnd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1767" w:rsidRPr="00F21767" w:rsidRDefault="00F21767" w:rsidP="00F21767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ДООЛ на базе Санаторно-лесной школы</w:t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Стоимость путёвок для родителей будет составлять 340 рублей за день пребывания ребёнка в стационарном загородном лагере и 212,5 рублей за день пребывания в загородном палаточном лагере.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(законным представителям), желающим приобрести путёвку в муниципальный загородный лагерь необходимо обратиться в соответствующее учреждение дополнительного образования детей. Адреса и телефоны учреждений, графики приёма родителей, тематика и продолжительность смен в муниципальных загородных лагерях, и другая информация размещена на сайте департамента образования администрации города Томска, в разделе каникулярный отдых детей (</w:t>
      </w:r>
      <w:proofErr w:type="spellStart"/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ссылка:</w:t>
      </w:r>
      <w:hyperlink r:id="rId5" w:history="1">
        <w:r w:rsidRPr="00F21767">
          <w:rPr>
            <w:rFonts w:ascii="Times New Roman" w:eastAsia="Times New Roman" w:hAnsi="Times New Roman" w:cs="Times New Roman"/>
            <w:color w:val="00AE5F"/>
            <w:sz w:val="21"/>
            <w:szCs w:val="21"/>
            <w:u w:val="single"/>
            <w:lang w:eastAsia="ru-RU"/>
          </w:rPr>
          <w:t>http</w:t>
        </w:r>
        <w:proofErr w:type="spellEnd"/>
        <w:r w:rsidRPr="00F21767">
          <w:rPr>
            <w:rFonts w:ascii="Times New Roman" w:eastAsia="Times New Roman" w:hAnsi="Times New Roman" w:cs="Times New Roman"/>
            <w:color w:val="00AE5F"/>
            <w:sz w:val="21"/>
            <w:szCs w:val="21"/>
            <w:u w:val="single"/>
            <w:lang w:eastAsia="ru-RU"/>
          </w:rPr>
          <w:t>://www.admin.tomsk.ru/</w:t>
        </w:r>
        <w:proofErr w:type="spellStart"/>
        <w:r w:rsidRPr="00F21767">
          <w:rPr>
            <w:rFonts w:ascii="Times New Roman" w:eastAsia="Times New Roman" w:hAnsi="Times New Roman" w:cs="Times New Roman"/>
            <w:color w:val="00AE5F"/>
            <w:sz w:val="21"/>
            <w:szCs w:val="21"/>
            <w:u w:val="single"/>
            <w:lang w:eastAsia="ru-RU"/>
          </w:rPr>
          <w:t>pgs</w:t>
        </w:r>
        <w:proofErr w:type="spellEnd"/>
        <w:r w:rsidRPr="00F21767">
          <w:rPr>
            <w:rFonts w:ascii="Times New Roman" w:eastAsia="Times New Roman" w:hAnsi="Times New Roman" w:cs="Times New Roman"/>
            <w:color w:val="00AE5F"/>
            <w:sz w:val="21"/>
            <w:szCs w:val="21"/>
            <w:u w:val="single"/>
            <w:lang w:eastAsia="ru-RU"/>
          </w:rPr>
          <w:t>/1f2</w:t>
        </w:r>
      </w:hyperlink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находящихся в трудной жизненной ситуации, могут обратиться за бесплатной путевкой в загородный лагерь в центры социальной поддержки населения по месту жительства.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Для приобретения путёвки в санаторно-оздоровительный лагерь необходимо обратиться в ближайший многофункциональный центр для регистрации, либо позвонить по многоканальному телефону 602-999. </w:t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F21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Путевки в лагеря разных форм собственности на профильные и тематические смены, с частичной оплатой стоимости, родители (законные представители) смогут приобрести, обратившись в профсоюзные комитеты своих предприятий и организаций. Департамент образования администрации города Томска передал 1 300 таких путёвок в Федерацию профсоюзных организаций Томской области.</w:t>
      </w:r>
    </w:p>
    <w:p w:rsidR="00F15F04" w:rsidRDefault="00F15F04">
      <w:bookmarkStart w:id="0" w:name="_GoBack"/>
      <w:bookmarkEnd w:id="0"/>
    </w:p>
    <w:sectPr w:rsidR="00F1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B"/>
    <w:rsid w:val="006A0EAB"/>
    <w:rsid w:val="00F15F04"/>
    <w:rsid w:val="00F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.tomsk.ru/pgs/1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2015-03-30T07:35:00Z</dcterms:created>
  <dcterms:modified xsi:type="dcterms:W3CDTF">2015-03-30T07:36:00Z</dcterms:modified>
</cp:coreProperties>
</file>